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05" w:rsidRDefault="00C1633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Приложение к письму </w:t>
      </w:r>
    </w:p>
    <w:p w:rsidR="00036505" w:rsidRDefault="00C16339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от ___________№ __________________</w:t>
      </w:r>
    </w:p>
    <w:p w:rsidR="00036505" w:rsidRDefault="00036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036505" w:rsidRDefault="00C1633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ПРОЕКТ</w:t>
      </w:r>
    </w:p>
    <w:p w:rsidR="00036505" w:rsidRDefault="00C16339">
      <w:pPr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Информационно-аналитическое письмо об итогах надзора за Крымской геморрагической лихорадкой в эпидсезон 202</w:t>
      </w:r>
      <w:r>
        <w:rPr>
          <w:rFonts w:ascii="Times New Roman" w:eastAsia="Calibri" w:hAnsi="Times New Roman" w:cs="Times New Roman"/>
          <w:b/>
          <w:sz w:val="28"/>
          <w:szCs w:val="28"/>
          <w:lang w:val="ru" w:eastAsia="zh-CN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г. и о прогнозе эпидемической ситуации на 202</w:t>
      </w:r>
      <w:r>
        <w:rPr>
          <w:rFonts w:ascii="Times New Roman" w:eastAsia="Calibri" w:hAnsi="Times New Roman" w:cs="Times New Roman"/>
          <w:b/>
          <w:sz w:val="28"/>
          <w:szCs w:val="28"/>
          <w:lang w:val="ru" w:eastAsia="zh-CN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г. в Российской Федерации</w:t>
      </w:r>
    </w:p>
    <w:p w:rsidR="00036505" w:rsidRDefault="000365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zh-CN"/>
        </w:rPr>
      </w:pPr>
    </w:p>
    <w:p w:rsidR="00036505" w:rsidRDefault="00C16339">
      <w:pPr>
        <w:spacing w:after="0" w:line="276" w:lineRule="auto"/>
        <w:ind w:firstLine="709"/>
        <w:jc w:val="both"/>
        <w:rPr>
          <w:rFonts w:ascii="Calibri" w:eastAsia="Calibri" w:hAnsi="Calibri" w:cs="Calibri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Крымская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геморрагическая лихорадка (КГЛ) — особо опасная природно-очаговая вирусная инфекция, случаи данного заболевания ежегодно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регистрируются на эндемичной территории Африки, Азии, юго-восточной Европы, в том числе в Российской Федерации.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данным 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ProMED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mail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2023 г. заболевания КГЛ зарегистрированы 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Индии – 3 случая (2 летальных), в Намибии – 1 (летальный), в Сенегале – 4 (1 летальный), в Северной Македонии – 3 (1 летальный), 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в Пакистане – 37 (13 летальных),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Мавритании – 2 (1 летальный), Казахстане – 3 (нет летальных), в Грузии – 12 (1 летальный), в Турции – 41 (2 летальных), в Иране – 60 (3 летальных), 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Афганистане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950 (96 летальных), в Ираке – 545</w:t>
      </w:r>
      <w:r>
        <w:rPr>
          <w:rFonts w:ascii="Times New Roman" w:eastAsia="Calibri" w:hAnsi="Times New Roman" w:cs="Times New Roman"/>
          <w:bCs/>
          <w:sz w:val="28"/>
          <w:szCs w:val="28"/>
          <w:lang w:val="ru" w:eastAsia="zh-CN"/>
        </w:rPr>
        <w:t xml:space="preserve"> случаев (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70</w:t>
      </w:r>
      <w:r>
        <w:rPr>
          <w:rFonts w:ascii="Times New Roman" w:eastAsia="Calibri" w:hAnsi="Times New Roman" w:cs="Times New Roman"/>
          <w:bCs/>
          <w:sz w:val="28"/>
          <w:szCs w:val="28"/>
          <w:lang w:val="ru" w:eastAsia="zh-CN"/>
        </w:rPr>
        <w:t xml:space="preserve"> летальных).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 последние 10 лет в Российской Ф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едерации самая высокая заболеваемость была в 2015-2016 и в 2019 гг., когда было зарегистрировано соответственно 138, 162 и 134 случаев заболевания (рисунок 1).</w:t>
      </w:r>
    </w:p>
    <w:p w:rsidR="00036505" w:rsidRDefault="00C1633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59450" cy="32397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6505" w:rsidRDefault="00C16339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Рисунок 1 – Регистрация числа случаев заболевания КГЛ в Российской Федерации в 2</w:t>
      </w:r>
      <w:r>
        <w:rPr>
          <w:rFonts w:ascii="Times New Roman" w:hAnsi="Times New Roman" w:cs="Times New Roman"/>
          <w:sz w:val="28"/>
          <w:szCs w:val="28"/>
        </w:rPr>
        <w:t>014-2023 гг.</w:t>
      </w:r>
    </w:p>
    <w:p w:rsidR="00036505" w:rsidRDefault="00036505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В 202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выявлено 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случаев заболевания КГЛ, что в 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раза 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меньше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чем в 202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(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59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случаев) и 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в 3,6 раза ниже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среднемноголетних значений (в 201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гг. – в среднем 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89,4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случаев в год). Эпидемические проявления КГЛ зарегистрированы в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пяти субъектах ЮФО и СКФО. Заболевания регистрировали преимущественно в 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Ставропольском крае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случаев) и 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Ростовской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случаев, 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летальны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). Кроме того, 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случаев КГЛ (1 летальный) выявлено в Республике Дагестан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и по 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случая – в Республике Калм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ыкия</w:t>
      </w:r>
      <w:r>
        <w:rPr>
          <w:rFonts w:ascii="Times New Roman" w:eastAsia="Calibri" w:hAnsi="Times New Roman" w:cs="Times New Roman"/>
          <w:sz w:val="28"/>
          <w:szCs w:val="28"/>
          <w:lang w:val="ru" w:eastAsia="zh-CN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Астраханской области.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Продолжается расширение эпидемически активной территории природного очага КГЛ. Так, в 2023 г. впервые зарегистрированы по одному случаю заболевания КГЛ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" w:eastAsia="zh-CN"/>
        </w:rPr>
        <w:t xml:space="preserve">Ботлихском и </w:t>
      </w:r>
      <w:r>
        <w:rPr>
          <w:rFonts w:ascii="Times New Roman" w:hAnsi="Times New Roman" w:cs="Times New Roman"/>
          <w:sz w:val="28"/>
          <w:szCs w:val="28"/>
          <w:lang w:val="ru"/>
        </w:rPr>
        <w:t>Новолакском районах Республики Дагестан.</w:t>
      </w:r>
    </w:p>
    <w:p w:rsidR="00036505" w:rsidRDefault="00C1633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  <w:lang w:val="ru"/>
        </w:rPr>
        <w:t>е в 2023 г. число заболеваний КГЛ ниже среднемноголетних</w:t>
      </w:r>
      <w:r>
        <w:rPr>
          <w:rFonts w:ascii="Times New Roman" w:hAnsi="Times New Roman" w:cs="Times New Roman"/>
          <w:sz w:val="28"/>
          <w:szCs w:val="28"/>
        </w:rPr>
        <w:t xml:space="preserve"> значений в Ростовской области – в </w:t>
      </w:r>
      <w:r>
        <w:rPr>
          <w:rFonts w:ascii="Times New Roman" w:hAnsi="Times New Roman" w:cs="Times New Roman"/>
          <w:sz w:val="28"/>
          <w:szCs w:val="28"/>
          <w:lang w:val="ru"/>
        </w:rPr>
        <w:t>6,6</w:t>
      </w:r>
      <w:r>
        <w:rPr>
          <w:rFonts w:ascii="Times New Roman" w:hAnsi="Times New Roman" w:cs="Times New Roman"/>
          <w:sz w:val="28"/>
          <w:szCs w:val="28"/>
        </w:rPr>
        <w:t xml:space="preserve"> раз (среднее </w:t>
      </w:r>
      <w:r>
        <w:rPr>
          <w:rFonts w:ascii="Times New Roman" w:hAnsi="Times New Roman" w:cs="Times New Roman"/>
          <w:sz w:val="28"/>
          <w:szCs w:val="28"/>
          <w:lang w:val="ru"/>
        </w:rPr>
        <w:t>39,7</w:t>
      </w:r>
      <w:r>
        <w:rPr>
          <w:rFonts w:ascii="Times New Roman" w:hAnsi="Times New Roman" w:cs="Times New Roman"/>
          <w:sz w:val="28"/>
          <w:szCs w:val="28"/>
        </w:rPr>
        <w:t xml:space="preserve"> случаев/год), в Республике Калмыкия – в </w:t>
      </w:r>
      <w:r>
        <w:rPr>
          <w:rFonts w:ascii="Times New Roman" w:hAnsi="Times New Roman" w:cs="Times New Roman"/>
          <w:sz w:val="28"/>
          <w:szCs w:val="28"/>
          <w:lang w:val="ru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 раз (9</w:t>
      </w:r>
      <w:r>
        <w:rPr>
          <w:rFonts w:ascii="Times New Roman" w:hAnsi="Times New Roman" w:cs="Times New Roman"/>
          <w:sz w:val="28"/>
          <w:szCs w:val="28"/>
          <w:lang w:val="ru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случаев/год), Ставропольском крае – в </w:t>
      </w:r>
      <w:r>
        <w:rPr>
          <w:rFonts w:ascii="Times New Roman" w:hAnsi="Times New Roman" w:cs="Times New Roman"/>
          <w:sz w:val="28"/>
          <w:szCs w:val="28"/>
          <w:lang w:val="ru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раз (2</w:t>
      </w:r>
      <w:r>
        <w:rPr>
          <w:rFonts w:ascii="Times New Roman" w:hAnsi="Times New Roman" w:cs="Times New Roman"/>
          <w:sz w:val="28"/>
          <w:szCs w:val="28"/>
          <w:lang w:val="ru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случаев/год). </w:t>
      </w:r>
      <w:r>
        <w:rPr>
          <w:rFonts w:ascii="Times New Roman" w:hAnsi="Times New Roman" w:cs="Times New Roman"/>
          <w:sz w:val="28"/>
          <w:szCs w:val="28"/>
          <w:lang w:val="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Республике Дагестан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Астраханской области число заболеваний соответствует среднемноголетним значениям: 4,1 и 3,1 </w:t>
      </w:r>
      <w:r>
        <w:rPr>
          <w:rFonts w:ascii="Times New Roman" w:hAnsi="Times New Roman" w:cs="Times New Roman"/>
          <w:sz w:val="28"/>
          <w:szCs w:val="28"/>
        </w:rPr>
        <w:t>случаев/год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соответственно.</w:t>
      </w:r>
    </w:p>
    <w:p w:rsidR="00036505" w:rsidRDefault="00C1633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Показатель заболеваемости в 202</w:t>
      </w: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наиболее высоким был в Республике Калмыкия – </w:t>
      </w:r>
      <w:r>
        <w:rPr>
          <w:rFonts w:ascii="Times New Roman" w:hAnsi="Times New Roman" w:cs="Times New Roman"/>
          <w:sz w:val="28"/>
          <w:szCs w:val="28"/>
          <w:lang w:val="ru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73 </w:t>
      </w:r>
      <w:r>
        <w:rPr>
          <w:rFonts w:ascii="Times New Roman" w:hAnsi="Times New Roman" w:cs="Times New Roman"/>
          <w:sz w:val="28"/>
          <w:szCs w:val="28"/>
          <w:vertAlign w:val="superscript"/>
          <w:lang w:val="ru"/>
        </w:rPr>
        <w:t>0</w:t>
      </w:r>
      <w:r>
        <w:rPr>
          <w:rFonts w:ascii="Times New Roman" w:hAnsi="Times New Roman" w:cs="Times New Roman"/>
          <w:sz w:val="28"/>
          <w:szCs w:val="28"/>
          <w:lang w:val="ru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  <w:lang w:val="ru"/>
        </w:rPr>
        <w:t>0000</w:t>
      </w:r>
      <w:r>
        <w:rPr>
          <w:rFonts w:ascii="Times New Roman" w:hAnsi="Times New Roman" w:cs="Times New Roman"/>
          <w:sz w:val="28"/>
          <w:szCs w:val="28"/>
        </w:rPr>
        <w:t>, Ставропольском крае – 0,</w:t>
      </w:r>
      <w:r>
        <w:rPr>
          <w:rFonts w:ascii="Times New Roman" w:hAnsi="Times New Roman" w:cs="Times New Roman"/>
          <w:sz w:val="28"/>
          <w:szCs w:val="28"/>
          <w:lang w:val="ru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val="ru"/>
        </w:rPr>
        <w:t>0</w:t>
      </w:r>
      <w:r>
        <w:rPr>
          <w:rFonts w:ascii="Times New Roman" w:hAnsi="Times New Roman" w:cs="Times New Roman"/>
          <w:sz w:val="28"/>
          <w:szCs w:val="28"/>
          <w:lang w:val="ru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  <w:lang w:val="ru"/>
        </w:rPr>
        <w:t xml:space="preserve">0000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sz w:val="28"/>
          <w:szCs w:val="28"/>
          <w:lang w:val="ru"/>
        </w:rPr>
        <w:t>Астраханской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0,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21 </w:t>
      </w:r>
      <w:r>
        <w:rPr>
          <w:rFonts w:ascii="Times New Roman" w:hAnsi="Times New Roman" w:cs="Times New Roman"/>
          <w:sz w:val="28"/>
          <w:szCs w:val="28"/>
          <w:vertAlign w:val="superscript"/>
          <w:lang w:val="ru"/>
        </w:rPr>
        <w:t>0</w:t>
      </w:r>
      <w:r>
        <w:rPr>
          <w:rFonts w:ascii="Times New Roman" w:hAnsi="Times New Roman" w:cs="Times New Roman"/>
          <w:sz w:val="28"/>
          <w:szCs w:val="28"/>
          <w:lang w:val="ru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  <w:lang w:val="ru"/>
        </w:rPr>
        <w:t>0000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505" w:rsidRDefault="00C16339">
      <w:pPr>
        <w:spacing w:after="0" w:line="276" w:lineRule="auto"/>
        <w:ind w:firstLine="709"/>
        <w:jc w:val="both"/>
        <w:rPr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>Летальность в 202</w:t>
      </w: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целом по России составила </w:t>
      </w:r>
      <w:r>
        <w:rPr>
          <w:rFonts w:ascii="Times New Roman" w:hAnsi="Times New Roman" w:cs="Times New Roman"/>
          <w:sz w:val="28"/>
          <w:szCs w:val="28"/>
          <w:lang w:val="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 %, зарегистрировано </w:t>
      </w:r>
      <w:r>
        <w:rPr>
          <w:rFonts w:ascii="Times New Roman" w:hAnsi="Times New Roman" w:cs="Times New Roman"/>
          <w:sz w:val="28"/>
          <w:szCs w:val="28"/>
          <w:lang w:val="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летальных исход</w:t>
      </w:r>
      <w:r>
        <w:rPr>
          <w:rFonts w:ascii="Times New Roman" w:hAnsi="Times New Roman" w:cs="Times New Roman"/>
          <w:sz w:val="28"/>
          <w:szCs w:val="28"/>
          <w:lang w:val="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(средняя летальность в 201</w:t>
      </w: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  <w:lang w:val="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гг. – 3,</w:t>
      </w: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 %). </w:t>
      </w:r>
    </w:p>
    <w:p w:rsidR="00036505" w:rsidRDefault="00C1633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Первый больной (по дате заболевания) был зарегистрирован в </w:t>
      </w:r>
      <w:r>
        <w:rPr>
          <w:rFonts w:ascii="Times New Roman" w:hAnsi="Times New Roman" w:cs="Times New Roman"/>
          <w:sz w:val="28"/>
          <w:szCs w:val="28"/>
          <w:lang w:val="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 </w:t>
      </w:r>
      <w:r>
        <w:rPr>
          <w:rFonts w:ascii="Times New Roman" w:hAnsi="Times New Roman" w:cs="Times New Roman"/>
          <w:sz w:val="28"/>
          <w:szCs w:val="28"/>
          <w:lang w:val="ru"/>
        </w:rPr>
        <w:t>декаде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"/>
        </w:rPr>
        <w:t>Ст</w:t>
      </w:r>
      <w:r>
        <w:rPr>
          <w:rFonts w:ascii="Times New Roman" w:hAnsi="Times New Roman" w:cs="Times New Roman"/>
          <w:sz w:val="28"/>
          <w:szCs w:val="28"/>
          <w:lang w:val="ru"/>
        </w:rPr>
        <w:t>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 (с. </w:t>
      </w:r>
      <w:r>
        <w:rPr>
          <w:rFonts w:ascii="Times New Roman" w:hAnsi="Times New Roman" w:cs="Times New Roman"/>
          <w:sz w:val="28"/>
          <w:szCs w:val="28"/>
          <w:lang w:val="ru"/>
        </w:rPr>
        <w:t>Степное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Степновског</w:t>
      </w:r>
      <w:r>
        <w:rPr>
          <w:rFonts w:ascii="Times New Roman" w:hAnsi="Times New Roman" w:cs="Times New Roman"/>
          <w:sz w:val="28"/>
          <w:szCs w:val="28"/>
        </w:rPr>
        <w:t xml:space="preserve">о района). В апреле выявлено </w:t>
      </w:r>
      <w:r>
        <w:rPr>
          <w:rFonts w:ascii="Times New Roman" w:hAnsi="Times New Roman" w:cs="Times New Roman"/>
          <w:sz w:val="28"/>
          <w:szCs w:val="28"/>
          <w:lang w:val="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случаев заболевания от общего числа, зарегистрированных в 2023 году заболеваний, пик пришёлся на </w:t>
      </w:r>
      <w:r>
        <w:rPr>
          <w:rFonts w:ascii="Times New Roman" w:hAnsi="Times New Roman" w:cs="Times New Roman"/>
          <w:sz w:val="28"/>
          <w:szCs w:val="28"/>
          <w:lang w:val="ru"/>
        </w:rPr>
        <w:t>май и июнь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и 32 % соответственно</w:t>
      </w:r>
      <w:r>
        <w:rPr>
          <w:rFonts w:ascii="Times New Roman" w:hAnsi="Times New Roman" w:cs="Times New Roman"/>
          <w:sz w:val="28"/>
          <w:szCs w:val="28"/>
        </w:rPr>
        <w:t>, в июле и августе выявлено 1</w:t>
      </w:r>
      <w:r>
        <w:rPr>
          <w:rFonts w:ascii="Times New Roman" w:hAnsi="Times New Roman" w:cs="Times New Roman"/>
          <w:sz w:val="28"/>
          <w:szCs w:val="28"/>
          <w:lang w:val="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случаев заб</w:t>
      </w:r>
      <w:r>
        <w:rPr>
          <w:rFonts w:ascii="Times New Roman" w:hAnsi="Times New Roman" w:cs="Times New Roman"/>
          <w:sz w:val="28"/>
          <w:szCs w:val="28"/>
        </w:rPr>
        <w:t xml:space="preserve">олевания соответственно. Последний случай КГЛ зарегистрирован в 3-й декаде августа в </w:t>
      </w:r>
      <w:r>
        <w:rPr>
          <w:rFonts w:ascii="Times New Roman" w:hAnsi="Times New Roman" w:cs="Times New Roman"/>
          <w:sz w:val="28"/>
          <w:szCs w:val="28"/>
          <w:lang w:val="ru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"/>
        </w:rPr>
        <w:t>Арпачин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>Багаевского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района). 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регистрировали во всех возрастных группах, чаще среди лиц возрастных групп 50-59 лет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и 60 лет и старше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"/>
        </w:rPr>
        <w:t>32</w:t>
      </w:r>
      <w:r>
        <w:rPr>
          <w:rFonts w:ascii="Times New Roman" w:hAnsi="Times New Roman" w:cs="Times New Roman"/>
          <w:sz w:val="28"/>
          <w:szCs w:val="28"/>
        </w:rPr>
        <w:t> % от общего числа случаев КГЛ соответственно. В Республике Дагестан выявлен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случай заболевания </w:t>
      </w:r>
      <w:r>
        <w:rPr>
          <w:rFonts w:ascii="Times New Roman" w:hAnsi="Times New Roman" w:cs="Times New Roman"/>
          <w:sz w:val="28"/>
          <w:szCs w:val="28"/>
          <w:lang w:val="ru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в возрасте </w:t>
      </w:r>
      <w:r>
        <w:rPr>
          <w:rFonts w:ascii="Times New Roman" w:hAnsi="Times New Roman" w:cs="Times New Roman"/>
          <w:sz w:val="28"/>
          <w:szCs w:val="28"/>
          <w:lang w:val="ru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36505" w:rsidRDefault="00C1633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профессиональном составе больных КГЛ преобладали безработные (4</w:t>
      </w:r>
      <w:r>
        <w:rPr>
          <w:rFonts w:ascii="Times New Roman" w:hAnsi="Times New Roman" w:cs="Times New Roman"/>
          <w:sz w:val="28"/>
          <w:szCs w:val="28"/>
          <w:lang w:val="ru"/>
        </w:rPr>
        <w:t>0</w:t>
      </w:r>
      <w:r>
        <w:rPr>
          <w:rFonts w:ascii="Times New Roman" w:hAnsi="Times New Roman" w:cs="Times New Roman"/>
          <w:sz w:val="28"/>
          <w:szCs w:val="28"/>
        </w:rPr>
        <w:t> %)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владельцы индивидуального поголовья сельскохозяйстве</w:t>
      </w:r>
      <w:r>
        <w:rPr>
          <w:rFonts w:ascii="Times New Roman" w:hAnsi="Times New Roman" w:cs="Times New Roman"/>
          <w:sz w:val="28"/>
          <w:szCs w:val="28"/>
        </w:rPr>
        <w:t>нных животных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(20 %)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"/>
        </w:rPr>
        <w:t>а также лица</w:t>
      </w:r>
      <w:r>
        <w:rPr>
          <w:rFonts w:ascii="Times New Roman" w:hAnsi="Times New Roman" w:cs="Times New Roman"/>
          <w:sz w:val="28"/>
          <w:szCs w:val="28"/>
        </w:rPr>
        <w:t>, занятые в сельском хозяйстве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механизаторы, разнорабочие сельхозпредприятий, чабаны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(20 %)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6505" w:rsidRDefault="00C1633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Инфицирование людей в большинстве случаев происходило при реализации трансмиссивного механизма передачи вируса Крымской-Конго </w:t>
      </w:r>
      <w:r>
        <w:rPr>
          <w:rFonts w:ascii="Times New Roman" w:hAnsi="Times New Roman" w:cs="Times New Roman"/>
          <w:sz w:val="28"/>
          <w:szCs w:val="28"/>
        </w:rPr>
        <w:t>геморрагической лихорадки (вирус ККГЛ) (8</w:t>
      </w:r>
      <w:r>
        <w:rPr>
          <w:rFonts w:ascii="Times New Roman" w:hAnsi="Times New Roman" w:cs="Times New Roman"/>
          <w:sz w:val="28"/>
          <w:szCs w:val="28"/>
          <w:lang w:val="ru"/>
        </w:rPr>
        <w:t>0</w:t>
      </w:r>
      <w:r>
        <w:rPr>
          <w:rFonts w:ascii="Times New Roman" w:hAnsi="Times New Roman" w:cs="Times New Roman"/>
          <w:sz w:val="28"/>
          <w:szCs w:val="28"/>
        </w:rPr>
        <w:t> % случаев), в т.ч. при укусе клещом (6</w:t>
      </w:r>
      <w:r>
        <w:rPr>
          <w:rFonts w:ascii="Times New Roman" w:hAnsi="Times New Roman" w:cs="Times New Roman"/>
          <w:sz w:val="28"/>
          <w:szCs w:val="28"/>
          <w:lang w:val="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%) и при контакте с клещом (</w:t>
      </w:r>
      <w:r>
        <w:rPr>
          <w:rFonts w:ascii="Times New Roman" w:hAnsi="Times New Roman" w:cs="Times New Roman"/>
          <w:sz w:val="28"/>
          <w:szCs w:val="28"/>
          <w:lang w:val="ru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%) (снятие незащищёнными руками, раздавливание, наползание). Укус и контакт с клещом происходили при уходе за сельскохозяйственными животными,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сельскохозяйственных работ, при нахождении в природных биотопах. В </w:t>
      </w:r>
      <w:r>
        <w:rPr>
          <w:rFonts w:ascii="Times New Roman" w:hAnsi="Times New Roman" w:cs="Times New Roman"/>
          <w:sz w:val="28"/>
          <w:szCs w:val="28"/>
          <w:lang w:val="ru"/>
        </w:rPr>
        <w:t>20</w:t>
      </w:r>
      <w:r>
        <w:rPr>
          <w:rFonts w:ascii="Times New Roman" w:hAnsi="Times New Roman" w:cs="Times New Roman"/>
          <w:sz w:val="28"/>
          <w:szCs w:val="28"/>
        </w:rPr>
        <w:t> % случаев путь заражения не установлен.</w:t>
      </w:r>
    </w:p>
    <w:p w:rsidR="00036505" w:rsidRDefault="00C1633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Анализ клинических проявлений КГЛ показал, что у 72 % больных наблюдалась клиническая форма без геморрагических проявлений. Преобладающей была среднетяжёлая форма течения болезни (76 % от всех случаев заболевания), доля случаев тяжёлого течения болезни сос</w:t>
      </w:r>
      <w:r>
        <w:rPr>
          <w:rFonts w:ascii="Times New Roman" w:hAnsi="Times New Roman" w:cs="Times New Roman"/>
          <w:sz w:val="28"/>
          <w:szCs w:val="28"/>
        </w:rPr>
        <w:t xml:space="preserve">тавила </w:t>
      </w:r>
      <w:r>
        <w:rPr>
          <w:rFonts w:ascii="Times New Roman" w:hAnsi="Times New Roman" w:cs="Times New Roman"/>
          <w:sz w:val="28"/>
          <w:szCs w:val="28"/>
          <w:lang w:val="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 %. В одном случае зарегистрирована микст-инфекция КГЛ в сочетании c COVID-19, заболевание закончилось выздоровлением. Все случаи заболевания подтверждены лабораторно. </w:t>
      </w:r>
    </w:p>
    <w:p w:rsidR="00036505" w:rsidRDefault="00C16339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лиц, обратившихся в медицинские организации по поводу укусов клещам</w:t>
      </w:r>
      <w:r>
        <w:rPr>
          <w:rFonts w:ascii="Times New Roman" w:hAnsi="Times New Roman" w:cs="Times New Roman"/>
          <w:sz w:val="28"/>
          <w:szCs w:val="28"/>
        </w:rPr>
        <w:t>и, по состоянию на третью декаду сентября 202</w:t>
      </w: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составило </w:t>
      </w:r>
      <w:r>
        <w:rPr>
          <w:rFonts w:ascii="Times New Roman" w:hAnsi="Times New Roman" w:cs="Times New Roman"/>
          <w:sz w:val="28"/>
          <w:szCs w:val="28"/>
          <w:lang w:val="ru"/>
        </w:rPr>
        <w:t>23229</w:t>
      </w:r>
      <w:r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 w:cs="Times New Roman"/>
          <w:sz w:val="28"/>
          <w:szCs w:val="28"/>
          <w:lang w:val="ru"/>
        </w:rPr>
        <w:t>9040</w:t>
      </w:r>
      <w:r>
        <w:rPr>
          <w:rFonts w:ascii="Times New Roman" w:hAnsi="Times New Roman" w:cs="Times New Roman"/>
          <w:sz w:val="28"/>
          <w:szCs w:val="28"/>
        </w:rPr>
        <w:t xml:space="preserve"> детей, где общее количество обратившихся на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9,5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ru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, а количество обратившихся детей до 14 лет </w:t>
      </w:r>
      <w:r>
        <w:rPr>
          <w:rFonts w:ascii="Times New Roman" w:hAnsi="Times New Roman" w:cs="Times New Roman"/>
          <w:sz w:val="28"/>
          <w:szCs w:val="28"/>
          <w:lang w:val="ru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на 1</w:t>
      </w:r>
      <w:r>
        <w:rPr>
          <w:rFonts w:ascii="Times New Roman" w:hAnsi="Times New Roman" w:cs="Times New Roman"/>
          <w:sz w:val="28"/>
          <w:szCs w:val="28"/>
          <w:lang w:val="ru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 %, чем за аналогичный период 202</w:t>
      </w:r>
      <w:r>
        <w:rPr>
          <w:rFonts w:ascii="Times New Roman" w:hAnsi="Times New Roman" w:cs="Times New Roman"/>
          <w:sz w:val="28"/>
          <w:szCs w:val="28"/>
          <w:lang w:val="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(2</w:t>
      </w:r>
      <w:r>
        <w:rPr>
          <w:rFonts w:ascii="Times New Roman" w:hAnsi="Times New Roman" w:cs="Times New Roman"/>
          <w:sz w:val="28"/>
          <w:szCs w:val="28"/>
          <w:lang w:val="ru"/>
        </w:rPr>
        <w:t>5670</w:t>
      </w:r>
      <w:r>
        <w:rPr>
          <w:rFonts w:ascii="Times New Roman" w:hAnsi="Times New Roman" w:cs="Times New Roman"/>
          <w:sz w:val="28"/>
          <w:szCs w:val="28"/>
        </w:rPr>
        <w:t xml:space="preserve"> укушенных, в т.ч. </w:t>
      </w:r>
      <w:r>
        <w:rPr>
          <w:rFonts w:ascii="Times New Roman" w:hAnsi="Times New Roman" w:cs="Times New Roman"/>
          <w:sz w:val="28"/>
          <w:szCs w:val="28"/>
          <w:lang w:val="ru"/>
        </w:rPr>
        <w:t>76</w:t>
      </w:r>
      <w:r>
        <w:rPr>
          <w:rFonts w:ascii="Times New Roman" w:hAnsi="Times New Roman" w:cs="Times New Roman"/>
          <w:sz w:val="28"/>
          <w:szCs w:val="28"/>
          <w:lang w:val="ru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детей). 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Погодно-климатические условия холодного периода 2022-2023 гг. на территории распространения основного переносчика вируса ККГЛ –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Hyalomma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marginatum</w:t>
      </w:r>
      <w:r>
        <w:rPr>
          <w:rFonts w:ascii="Times New Roman" w:hAnsi="Times New Roman" w:cs="Times New Roman"/>
          <w:sz w:val="28"/>
          <w:szCs w:val="28"/>
        </w:rPr>
        <w:t xml:space="preserve"> сохранились в пределах температурного оптимума для переживания неблагоприятных условий в период </w:t>
      </w:r>
      <w:r>
        <w:rPr>
          <w:rFonts w:ascii="Times New Roman" w:hAnsi="Times New Roman" w:cs="Times New Roman"/>
          <w:sz w:val="28"/>
          <w:szCs w:val="28"/>
        </w:rPr>
        <w:t>зимней диапаузы иксодового клеща. В точках долговременного наблюдения (восточные районы Ставропольского края – Нефтекумский, Левокумский, Курский) среднемесячная температура воздуха составила в декабре 2022 г. +0,9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С, в январе 2023 г. +1,9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 xml:space="preserve">С, в феврале </w:t>
      </w:r>
      <w:r>
        <w:rPr>
          <w:rFonts w:ascii="Times New Roman" w:hAnsi="Times New Roman" w:cs="Times New Roman"/>
          <w:sz w:val="28"/>
          <w:szCs w:val="28"/>
        </w:rPr>
        <w:t>2023 г. –0,8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С. Средняя температура зимних месяцев 2022-2023 гг. составила +0,7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(2020-2021 гг. была –0,3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С), что ниже, чем за аналогичные периоды 2021-2022 гг. (+3,1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С) и 2019-2020 гг. (+3,0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С). Среднемесячная температура воздуха в марте 2023 г. был</w:t>
      </w:r>
      <w:r>
        <w:rPr>
          <w:rFonts w:ascii="Times New Roman" w:hAnsi="Times New Roman" w:cs="Times New Roman"/>
          <w:sz w:val="28"/>
          <w:szCs w:val="28"/>
        </w:rPr>
        <w:t>а +10,0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С, апреле 2023 г. +14,4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С, мае +19,8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аналогичный период 2022 г. температура воздуха составляла +3,3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в марте, +13,7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в апреле и +14,6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в мае.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среднесуточных температур воздуха до уровня, необходимого для активизации имаго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marginatum</w:t>
      </w:r>
      <w:r>
        <w:rPr>
          <w:rFonts w:ascii="Times New Roman" w:hAnsi="Times New Roman" w:cs="Times New Roman"/>
          <w:sz w:val="28"/>
          <w:szCs w:val="28"/>
        </w:rPr>
        <w:t xml:space="preserve">, в 2023 году произошло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декаде марта, когда на протяжении 5 дней была отмечена оптимальная для активизации температура – от +9,0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до +15,5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С, без осадков в виде снега. В апреле установилась стабильно тёплая, сухая погода: дневные темп</w:t>
      </w:r>
      <w:r>
        <w:rPr>
          <w:rFonts w:ascii="Times New Roman" w:hAnsi="Times New Roman" w:cs="Times New Roman"/>
          <w:sz w:val="28"/>
          <w:szCs w:val="28"/>
        </w:rPr>
        <w:t xml:space="preserve">ературы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воздуха достигали +23,0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(минимальные от +8,0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до +12,0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С), ночные в пределах от +9,0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до +17,0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(минимальные от +4,0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до +7,0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 о</w:t>
      </w:r>
      <w:r>
        <w:rPr>
          <w:rFonts w:ascii="Times New Roman" w:hAnsi="Times New Roman" w:cs="Times New Roman"/>
          <w:sz w:val="28"/>
          <w:szCs w:val="28"/>
        </w:rPr>
        <w:t>С не более трёх дней подряд, что не могло повлиять на снижение активности клещей в условиях уже прогретой поч</w:t>
      </w:r>
      <w:r>
        <w:rPr>
          <w:rFonts w:ascii="Times New Roman" w:hAnsi="Times New Roman" w:cs="Times New Roman"/>
          <w:sz w:val="28"/>
          <w:szCs w:val="28"/>
        </w:rPr>
        <w:t>вы).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2022 г. активизация имаго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>. 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marginatum</w:t>
      </w:r>
      <w:r>
        <w:rPr>
          <w:rFonts w:ascii="Times New Roman" w:hAnsi="Times New Roman" w:cs="Times New Roman"/>
          <w:sz w:val="28"/>
          <w:szCs w:val="28"/>
        </w:rPr>
        <w:t xml:space="preserve"> произошла на 10 дней раньше (в 2022 г. –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 декады марта –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 декады апреля). На стационарных точках наблюдения в апреле индекс встречаемости взрослых особей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>. 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marginatum</w:t>
      </w:r>
      <w:r>
        <w:rPr>
          <w:rFonts w:ascii="Times New Roman" w:hAnsi="Times New Roman" w:cs="Times New Roman"/>
          <w:sz w:val="28"/>
          <w:szCs w:val="28"/>
        </w:rPr>
        <w:t xml:space="preserve"> на круп</w:t>
      </w:r>
      <w:r>
        <w:rPr>
          <w:rFonts w:ascii="Times New Roman" w:hAnsi="Times New Roman" w:cs="Times New Roman"/>
          <w:sz w:val="28"/>
          <w:szCs w:val="28"/>
        </w:rPr>
        <w:t>ном рогатом скоте составил 100 %, индекс обилия – 15,5. Эпидемически значимый показатель численности основного переносчика вируса ККГЛ был превышен в 5 раз.</w:t>
      </w:r>
    </w:p>
    <w:p w:rsidR="00036505" w:rsidRDefault="00C16339">
      <w:pPr>
        <w:pStyle w:val="aa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эпизоотологического мониторинга стационарных точек Ставропольского края в весенний п</w:t>
      </w:r>
      <w:r>
        <w:rPr>
          <w:sz w:val="28"/>
          <w:szCs w:val="28"/>
        </w:rPr>
        <w:t xml:space="preserve">ериод, иксодовые клещи представлены следующими видами: </w:t>
      </w:r>
      <w:r>
        <w:rPr>
          <w:i/>
          <w:sz w:val="28"/>
          <w:szCs w:val="28"/>
          <w:lang w:val="en-US"/>
        </w:rPr>
        <w:t>Hyalomma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marginatum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Hyalomma scupense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Dermacentor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marginatus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Dermacentor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reticulatus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Rhipicephalus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rossicus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Rhipicephalus sanguineus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Haemaphysalis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punctata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Boophilus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annulatus</w:t>
      </w:r>
      <w:r>
        <w:rPr>
          <w:sz w:val="28"/>
          <w:szCs w:val="28"/>
        </w:rPr>
        <w:t xml:space="preserve">. </w:t>
      </w:r>
    </w:p>
    <w:p w:rsidR="00036505" w:rsidRDefault="00C16339">
      <w:pPr>
        <w:pStyle w:val="aa"/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Доминирующим видом в ранневесенний период и зимой отмечен однохозяинный паразит крупного рогатого скота – </w:t>
      </w:r>
      <w:r>
        <w:rPr>
          <w:i/>
          <w:sz w:val="28"/>
          <w:szCs w:val="28"/>
        </w:rPr>
        <w:t>H. scupense</w:t>
      </w:r>
      <w:r>
        <w:rPr>
          <w:sz w:val="28"/>
          <w:szCs w:val="28"/>
        </w:rPr>
        <w:t xml:space="preserve">, в апреле –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</w:rPr>
        <w:t>. </w:t>
      </w:r>
      <w:r>
        <w:rPr>
          <w:i/>
          <w:sz w:val="28"/>
          <w:szCs w:val="28"/>
          <w:lang w:val="en-US"/>
        </w:rPr>
        <w:t>marginatum</w:t>
      </w:r>
      <w:r>
        <w:rPr>
          <w:sz w:val="28"/>
          <w:szCs w:val="28"/>
        </w:rPr>
        <w:t>, в поздневесений–летний период доминирующим был однохозяинный паразит КРС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. </w:t>
      </w:r>
      <w:r>
        <w:rPr>
          <w:i/>
          <w:sz w:val="28"/>
          <w:szCs w:val="28"/>
          <w:lang w:val="en-US"/>
        </w:rPr>
        <w:t>annulatus</w:t>
      </w:r>
      <w:r>
        <w:rPr>
          <w:sz w:val="28"/>
          <w:szCs w:val="28"/>
        </w:rPr>
        <w:t>, что соответствует фено</w:t>
      </w:r>
      <w:r>
        <w:rPr>
          <w:sz w:val="28"/>
          <w:szCs w:val="28"/>
        </w:rPr>
        <w:t>логии этих видов клещей. Остальные виды иксодид в условиях полупустынных ландшафтов восточного Ставрополья не являются многочисленными.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лабораторий противочумных учреждений и ФБУЗ «Центр гигиены и эпидемиологии» в субъектах ЮФО, СКФО в 2023 г. мето</w:t>
      </w:r>
      <w:r>
        <w:rPr>
          <w:rFonts w:ascii="Times New Roman" w:hAnsi="Times New Roman"/>
          <w:sz w:val="28"/>
          <w:szCs w:val="28"/>
        </w:rPr>
        <w:t xml:space="preserve">дами ИФА и ПЦР на наличие антигена и РНК вируса ККГЛ была исследована </w:t>
      </w:r>
      <w:r>
        <w:rPr>
          <w:rFonts w:ascii="Times New Roman" w:hAnsi="Times New Roman"/>
          <w:sz w:val="28"/>
          <w:szCs w:val="28"/>
          <w:lang w:val="ru"/>
        </w:rPr>
        <w:t>4117</w:t>
      </w:r>
      <w:r>
        <w:rPr>
          <w:rFonts w:ascii="Times New Roman" w:hAnsi="Times New Roman"/>
          <w:sz w:val="28"/>
          <w:szCs w:val="28"/>
        </w:rPr>
        <w:t xml:space="preserve"> проб иксодовых клещей, выявлено </w:t>
      </w:r>
      <w:r>
        <w:rPr>
          <w:rFonts w:ascii="Times New Roman" w:hAnsi="Times New Roman"/>
          <w:sz w:val="28"/>
          <w:szCs w:val="28"/>
          <w:lang w:val="ru"/>
        </w:rPr>
        <w:t>97</w:t>
      </w:r>
      <w:r>
        <w:rPr>
          <w:rFonts w:ascii="Times New Roman" w:hAnsi="Times New Roman"/>
          <w:sz w:val="28"/>
          <w:szCs w:val="28"/>
        </w:rPr>
        <w:t xml:space="preserve"> положительных (2,36 %) проб, (в 2013-20</w:t>
      </w:r>
      <w:r>
        <w:rPr>
          <w:rFonts w:ascii="Times New Roman" w:hAnsi="Times New Roman"/>
          <w:sz w:val="28"/>
          <w:szCs w:val="28"/>
          <w:lang w:val="ru"/>
        </w:rPr>
        <w:t>22</w:t>
      </w:r>
      <w:r>
        <w:rPr>
          <w:rFonts w:ascii="Times New Roman" w:hAnsi="Times New Roman"/>
          <w:sz w:val="28"/>
          <w:szCs w:val="28"/>
        </w:rPr>
        <w:t> гг. доля положительных пулов иксодовых клещей в среднем составляла 3,33 %). В 2023 г. доля положительных</w:t>
      </w:r>
      <w:r>
        <w:rPr>
          <w:rFonts w:ascii="Times New Roman" w:hAnsi="Times New Roman"/>
          <w:sz w:val="28"/>
          <w:szCs w:val="28"/>
        </w:rPr>
        <w:t xml:space="preserve"> проб, по сравнению со средним показателем за последние десять лет, увеличилась в Ставропольском крае до 7,78 % (в 2013-20</w:t>
      </w:r>
      <w:r>
        <w:rPr>
          <w:rFonts w:ascii="Times New Roman" w:hAnsi="Times New Roman"/>
          <w:sz w:val="28"/>
          <w:szCs w:val="28"/>
          <w:lang w:val="ru"/>
        </w:rPr>
        <w:t>22</w:t>
      </w:r>
      <w:r>
        <w:rPr>
          <w:rFonts w:ascii="Times New Roman" w:hAnsi="Times New Roman"/>
          <w:sz w:val="28"/>
          <w:szCs w:val="28"/>
        </w:rPr>
        <w:t xml:space="preserve"> гг. – 4,88 %). </w:t>
      </w:r>
    </w:p>
    <w:p w:rsidR="00036505" w:rsidRDefault="00C16339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ряде регионов доля положительных среди исследованных проб снизилась по сравнению со средним показателем за послед</w:t>
      </w:r>
      <w:r>
        <w:rPr>
          <w:rFonts w:ascii="Times New Roman" w:hAnsi="Times New Roman"/>
          <w:sz w:val="28"/>
          <w:szCs w:val="28"/>
        </w:rPr>
        <w:t>ние десять лет: в Астраханской области до 2,54 % (в 2013-20</w:t>
      </w:r>
      <w:r>
        <w:rPr>
          <w:rFonts w:ascii="Times New Roman" w:hAnsi="Times New Roman"/>
          <w:sz w:val="28"/>
          <w:szCs w:val="28"/>
          <w:lang w:val="ru"/>
        </w:rPr>
        <w:t>22</w:t>
      </w:r>
      <w:r>
        <w:rPr>
          <w:rFonts w:ascii="Times New Roman" w:hAnsi="Times New Roman"/>
          <w:sz w:val="28"/>
          <w:szCs w:val="28"/>
        </w:rPr>
        <w:t> гг. – 7,63 %), Республике Калмыкия до 0,67 % (в 2013-20</w:t>
      </w:r>
      <w:r>
        <w:rPr>
          <w:rFonts w:ascii="Times New Roman" w:hAnsi="Times New Roman"/>
          <w:sz w:val="28"/>
          <w:szCs w:val="28"/>
          <w:lang w:val="ru"/>
        </w:rPr>
        <w:t>22</w:t>
      </w:r>
      <w:r>
        <w:rPr>
          <w:rFonts w:ascii="Times New Roman" w:hAnsi="Times New Roman"/>
          <w:sz w:val="28"/>
          <w:szCs w:val="28"/>
        </w:rPr>
        <w:t> гг. – 4,03 %), Ростовской области до 18,27 % (в 2013-20</w:t>
      </w:r>
      <w:r>
        <w:rPr>
          <w:rFonts w:ascii="Times New Roman" w:hAnsi="Times New Roman"/>
          <w:sz w:val="28"/>
          <w:szCs w:val="28"/>
          <w:lang w:val="ru"/>
        </w:rPr>
        <w:t>22</w:t>
      </w:r>
      <w:r>
        <w:rPr>
          <w:rFonts w:ascii="Times New Roman" w:hAnsi="Times New Roman"/>
          <w:sz w:val="28"/>
          <w:szCs w:val="28"/>
        </w:rPr>
        <w:t xml:space="preserve"> гг. – 22,54 %). 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>В 2023 г. пробы иксодовых клещей, содержащие маркеры вируса К</w:t>
      </w:r>
      <w:r>
        <w:rPr>
          <w:rFonts w:ascii="Times New Roman" w:hAnsi="Times New Roman"/>
          <w:sz w:val="28"/>
          <w:szCs w:val="28"/>
        </w:rPr>
        <w:t>КГЛ, не выявлены на территории Кабардино-Балкарской Республик</w:t>
      </w:r>
      <w:r>
        <w:rPr>
          <w:rFonts w:ascii="Times New Roman" w:hAnsi="Times New Roman"/>
          <w:sz w:val="28"/>
          <w:szCs w:val="28"/>
          <w:lang w:val="ru"/>
        </w:rPr>
        <w:t>и</w:t>
      </w:r>
      <w:r>
        <w:rPr>
          <w:rFonts w:ascii="Times New Roman" w:hAnsi="Times New Roman"/>
          <w:sz w:val="28"/>
          <w:szCs w:val="28"/>
        </w:rPr>
        <w:t>, Краснодарского края, Республик Адыгея, Крым</w:t>
      </w:r>
      <w:r>
        <w:rPr>
          <w:rFonts w:ascii="Times New Roman" w:hAnsi="Times New Roman"/>
          <w:sz w:val="28"/>
          <w:szCs w:val="28"/>
          <w:lang w:val="ru"/>
        </w:rPr>
        <w:t xml:space="preserve"> и Северная Осетия-Алания</w:t>
      </w:r>
      <w:r>
        <w:rPr>
          <w:rFonts w:ascii="Times New Roman" w:hAnsi="Times New Roman"/>
          <w:sz w:val="28"/>
          <w:szCs w:val="28"/>
        </w:rPr>
        <w:t>, Ингушетия, Дагестан.</w:t>
      </w:r>
      <w:r>
        <w:rPr>
          <w:rFonts w:ascii="Times New Roman" w:hAnsi="Times New Roman"/>
          <w:sz w:val="28"/>
          <w:szCs w:val="28"/>
          <w:lang w:val="ru"/>
        </w:rPr>
        <w:t xml:space="preserve"> </w:t>
      </w:r>
    </w:p>
    <w:p w:rsidR="00036505" w:rsidRDefault="00C16339">
      <w:pPr>
        <w:spacing w:after="0"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ru"/>
        </w:rPr>
        <w:lastRenderedPageBreak/>
        <w:t xml:space="preserve">На базе Референс-центра по мониторингу за возбудителем КГЛ проведено фрагментное и полногеномное </w:t>
      </w:r>
      <w:r>
        <w:rPr>
          <w:rFonts w:ascii="Times New Roman" w:hAnsi="Times New Roman"/>
          <w:sz w:val="28"/>
          <w:szCs w:val="28"/>
          <w:lang w:val="ru"/>
        </w:rPr>
        <w:t>секвенирование штаммов и РНК-изолятов вируса ККГЛ, выявленных в образцах клинического материала от больных КГЛ в Ростовской, Астраханской областях, Республиках Калмыкия, Дагестан, Ставропольском крае, в г. Москве (заносной случай из Грузии), и образцах сус</w:t>
      </w:r>
      <w:r>
        <w:rPr>
          <w:rFonts w:ascii="Times New Roman" w:hAnsi="Times New Roman"/>
          <w:sz w:val="28"/>
          <w:szCs w:val="28"/>
          <w:lang w:val="ru"/>
        </w:rPr>
        <w:t>пензий клещей, собранных на территории Херсонской области. Исследуемые штаммы и РНК-изоляты, циркулировавшие в 2023 г. на территории Российской Федерации, принадлежали к генетической линии «Европа-1»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ru"/>
        </w:rPr>
        <w:t xml:space="preserve">), генетическим подгруппам </w:t>
      </w:r>
      <w:r>
        <w:rPr>
          <w:rFonts w:ascii="Times New Roman" w:hAnsi="Times New Roman"/>
          <w:sz w:val="28"/>
          <w:szCs w:val="28"/>
          <w:lang w:val="en-US"/>
        </w:rPr>
        <w:t>Va</w:t>
      </w:r>
      <w:r>
        <w:rPr>
          <w:rFonts w:ascii="Times New Roman" w:hAnsi="Times New Roman"/>
          <w:sz w:val="28"/>
          <w:szCs w:val="28"/>
        </w:rPr>
        <w:t xml:space="preserve"> (Ставрополь-Ростов-Астра</w:t>
      </w:r>
      <w:r>
        <w:rPr>
          <w:rFonts w:ascii="Times New Roman" w:hAnsi="Times New Roman"/>
          <w:sz w:val="28"/>
          <w:szCs w:val="28"/>
        </w:rPr>
        <w:t xml:space="preserve">хань), </w:t>
      </w:r>
      <w:r>
        <w:rPr>
          <w:rFonts w:ascii="Times New Roman" w:hAnsi="Times New Roman"/>
          <w:sz w:val="28"/>
          <w:szCs w:val="28"/>
          <w:lang w:val="en-US"/>
        </w:rPr>
        <w:t>Vb</w:t>
      </w:r>
      <w:r>
        <w:rPr>
          <w:rFonts w:ascii="Times New Roman" w:hAnsi="Times New Roman"/>
          <w:sz w:val="28"/>
          <w:szCs w:val="28"/>
        </w:rPr>
        <w:t xml:space="preserve"> (Волгоград-Ростов-Ставрополь) и </w:t>
      </w:r>
      <w:r>
        <w:rPr>
          <w:rFonts w:ascii="Times New Roman" w:hAnsi="Times New Roman"/>
          <w:sz w:val="28"/>
          <w:szCs w:val="28"/>
          <w:lang w:val="en-US"/>
        </w:rPr>
        <w:t>Vc</w:t>
      </w:r>
      <w:r>
        <w:rPr>
          <w:rFonts w:ascii="Times New Roman" w:hAnsi="Times New Roman"/>
          <w:sz w:val="28"/>
          <w:szCs w:val="28"/>
        </w:rPr>
        <w:t xml:space="preserve"> (Астрахань-2), штаммы которых характерны для территории юга европейской части России</w:t>
      </w:r>
      <w:r>
        <w:rPr>
          <w:rFonts w:ascii="Times New Roman" w:hAnsi="Times New Roman"/>
          <w:sz w:val="28"/>
          <w:szCs w:val="28"/>
          <w:lang w:val="ru"/>
        </w:rPr>
        <w:t xml:space="preserve">. РНК-изолят. Выявленный из образцов секционного материала умершего от КГЛ в г. Москве (инфицирование – на территории Грузии), </w:t>
      </w:r>
      <w:r>
        <w:rPr>
          <w:rFonts w:ascii="Times New Roman" w:hAnsi="Times New Roman"/>
          <w:sz w:val="28"/>
          <w:szCs w:val="28"/>
          <w:lang w:val="ru"/>
        </w:rPr>
        <w:t>принадлежал к новой генетической подгруппе в пределах генетической линии Европа-1, наиболее близкой к группе штаммов из Турции.</w:t>
      </w:r>
    </w:p>
    <w:p w:rsidR="00036505" w:rsidRDefault="00C16339">
      <w:pPr>
        <w:spacing w:after="0" w:line="276" w:lineRule="auto"/>
        <w:ind w:right="-18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 с марта по </w:t>
      </w:r>
      <w:r>
        <w:rPr>
          <w:rFonts w:ascii="Times New Roman" w:hAnsi="Times New Roman" w:cs="Times New Roman"/>
          <w:sz w:val="28"/>
          <w:szCs w:val="28"/>
          <w:lang w:val="ru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акарицидные обработки в субъектах ЮФО и СКФО проведены в следующих объёмах от запланированны</w:t>
      </w:r>
      <w:r>
        <w:rPr>
          <w:rFonts w:ascii="Times New Roman" w:hAnsi="Times New Roman" w:cs="Times New Roman"/>
          <w:sz w:val="28"/>
          <w:szCs w:val="28"/>
        </w:rPr>
        <w:t xml:space="preserve">х: в Ростовской области – </w:t>
      </w:r>
      <w:r>
        <w:rPr>
          <w:rFonts w:ascii="Times New Roman" w:hAnsi="Times New Roman" w:cs="Times New Roman"/>
          <w:sz w:val="28"/>
          <w:szCs w:val="28"/>
          <w:lang w:val="ru"/>
        </w:rPr>
        <w:t>364,3</w:t>
      </w:r>
      <w:r>
        <w:rPr>
          <w:rFonts w:ascii="Times New Roman" w:hAnsi="Times New Roman" w:cs="Times New Roman"/>
          <w:sz w:val="28"/>
          <w:szCs w:val="28"/>
        </w:rPr>
        <w:t xml:space="preserve"> % КРС и 2</w:t>
      </w:r>
      <w:r>
        <w:rPr>
          <w:rFonts w:ascii="Times New Roman" w:hAnsi="Times New Roman" w:cs="Times New Roman"/>
          <w:sz w:val="28"/>
          <w:szCs w:val="28"/>
          <w:lang w:val="ru"/>
        </w:rPr>
        <w:t>30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 МРС, в Ставропольском крае – </w:t>
      </w:r>
      <w:r>
        <w:rPr>
          <w:rFonts w:ascii="Times New Roman" w:hAnsi="Times New Roman" w:cs="Times New Roman"/>
          <w:sz w:val="28"/>
          <w:szCs w:val="28"/>
          <w:lang w:val="ru"/>
        </w:rPr>
        <w:t>250,0</w:t>
      </w:r>
      <w:r>
        <w:rPr>
          <w:rFonts w:ascii="Times New Roman" w:hAnsi="Times New Roman" w:cs="Times New Roman"/>
          <w:sz w:val="28"/>
          <w:szCs w:val="28"/>
        </w:rPr>
        <w:t xml:space="preserve"> % КРС и </w:t>
      </w:r>
      <w:r>
        <w:rPr>
          <w:rFonts w:ascii="Times New Roman" w:hAnsi="Times New Roman" w:cs="Times New Roman"/>
          <w:sz w:val="28"/>
          <w:szCs w:val="28"/>
          <w:lang w:val="ru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,3 % МРС, в Республике Калмыкия – 100,0 % КРС и 100,0 % МРС, в Астраханской области – </w:t>
      </w:r>
      <w:r>
        <w:rPr>
          <w:rFonts w:ascii="Times New Roman" w:hAnsi="Times New Roman" w:cs="Times New Roman"/>
          <w:sz w:val="28"/>
          <w:szCs w:val="28"/>
          <w:lang w:val="ru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 КРС и </w:t>
      </w:r>
      <w:r>
        <w:rPr>
          <w:rFonts w:ascii="Times New Roman" w:hAnsi="Times New Roman" w:cs="Times New Roman"/>
          <w:sz w:val="28"/>
          <w:szCs w:val="28"/>
          <w:lang w:val="ru"/>
        </w:rPr>
        <w:t>8</w:t>
      </w:r>
      <w:r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  <w:lang w:val="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МРС, в Волгоградской области – </w:t>
      </w:r>
      <w:r>
        <w:rPr>
          <w:rFonts w:ascii="Times New Roman" w:hAnsi="Times New Roman" w:cs="Times New Roman"/>
          <w:sz w:val="28"/>
          <w:szCs w:val="28"/>
          <w:lang w:val="ru"/>
        </w:rPr>
        <w:t>114,7</w:t>
      </w:r>
      <w:r>
        <w:rPr>
          <w:rFonts w:ascii="Times New Roman" w:hAnsi="Times New Roman" w:cs="Times New Roman"/>
          <w:sz w:val="28"/>
          <w:szCs w:val="28"/>
        </w:rPr>
        <w:t xml:space="preserve"> % КРС и </w:t>
      </w:r>
      <w:r>
        <w:rPr>
          <w:rFonts w:ascii="Times New Roman" w:hAnsi="Times New Roman" w:cs="Times New Roman"/>
          <w:sz w:val="28"/>
          <w:szCs w:val="28"/>
          <w:lang w:val="ru"/>
        </w:rPr>
        <w:t>78,7</w:t>
      </w:r>
      <w:r>
        <w:rPr>
          <w:rFonts w:ascii="Times New Roman" w:hAnsi="Times New Roman" w:cs="Times New Roman"/>
          <w:sz w:val="28"/>
          <w:szCs w:val="28"/>
        </w:rPr>
        <w:t xml:space="preserve"> % МРС,</w:t>
      </w:r>
      <w:r>
        <w:rPr>
          <w:rFonts w:ascii="Times New Roman" w:hAnsi="Times New Roman" w:cs="Times New Roman"/>
          <w:sz w:val="28"/>
          <w:szCs w:val="28"/>
        </w:rPr>
        <w:t xml:space="preserve"> в Кабардино-Балкарской Республике – </w:t>
      </w:r>
      <w:r>
        <w:rPr>
          <w:rFonts w:ascii="Times New Roman" w:hAnsi="Times New Roman" w:cs="Times New Roman"/>
          <w:sz w:val="28"/>
          <w:szCs w:val="28"/>
          <w:lang w:val="ru"/>
        </w:rPr>
        <w:t>261,0</w:t>
      </w:r>
      <w:r>
        <w:rPr>
          <w:rFonts w:ascii="Times New Roman" w:hAnsi="Times New Roman" w:cs="Times New Roman"/>
          <w:sz w:val="28"/>
          <w:szCs w:val="28"/>
        </w:rPr>
        <w:t xml:space="preserve"> % КРС и </w:t>
      </w:r>
      <w:r>
        <w:rPr>
          <w:rFonts w:ascii="Times New Roman" w:hAnsi="Times New Roman" w:cs="Times New Roman"/>
          <w:sz w:val="28"/>
          <w:szCs w:val="28"/>
          <w:lang w:val="ru"/>
        </w:rPr>
        <w:t>187,</w:t>
      </w:r>
      <w:r>
        <w:rPr>
          <w:rFonts w:ascii="Times New Roman" w:hAnsi="Times New Roman" w:cs="Times New Roman"/>
          <w:sz w:val="28"/>
          <w:szCs w:val="28"/>
        </w:rPr>
        <w:t xml:space="preserve">0 % МРС, в Краснодарском крае – </w:t>
      </w:r>
      <w:r>
        <w:rPr>
          <w:rFonts w:ascii="Times New Roman" w:hAnsi="Times New Roman" w:cs="Times New Roman"/>
          <w:sz w:val="28"/>
          <w:szCs w:val="28"/>
          <w:lang w:val="ru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,0 % КРС и </w:t>
      </w:r>
      <w:r>
        <w:rPr>
          <w:rFonts w:ascii="Times New Roman" w:hAnsi="Times New Roman" w:cs="Times New Roman"/>
          <w:sz w:val="28"/>
          <w:szCs w:val="28"/>
          <w:lang w:val="ru"/>
        </w:rPr>
        <w:t>51</w:t>
      </w:r>
      <w:r>
        <w:rPr>
          <w:rFonts w:ascii="Times New Roman" w:hAnsi="Times New Roman" w:cs="Times New Roman"/>
          <w:sz w:val="28"/>
          <w:szCs w:val="28"/>
        </w:rPr>
        <w:t>,0 % МРС, в Республике Адыгея – 1</w:t>
      </w:r>
      <w:r>
        <w:rPr>
          <w:rFonts w:ascii="Times New Roman" w:hAnsi="Times New Roman" w:cs="Times New Roman"/>
          <w:sz w:val="28"/>
          <w:szCs w:val="28"/>
          <w:lang w:val="ru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КРС и 1</w:t>
      </w:r>
      <w:r>
        <w:rPr>
          <w:rFonts w:ascii="Times New Roman" w:hAnsi="Times New Roman" w:cs="Times New Roman"/>
          <w:sz w:val="28"/>
          <w:szCs w:val="28"/>
          <w:lang w:val="ru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МРС, в Республике Северная Осетия-Алания – </w:t>
      </w:r>
      <w:r>
        <w:rPr>
          <w:rFonts w:ascii="Times New Roman" w:hAnsi="Times New Roman" w:cs="Times New Roman"/>
          <w:sz w:val="28"/>
          <w:szCs w:val="28"/>
          <w:lang w:val="ru"/>
        </w:rPr>
        <w:t>86,4</w:t>
      </w:r>
      <w:r>
        <w:rPr>
          <w:rFonts w:ascii="Times New Roman" w:hAnsi="Times New Roman" w:cs="Times New Roman"/>
          <w:sz w:val="28"/>
          <w:szCs w:val="28"/>
        </w:rPr>
        <w:t xml:space="preserve"> % КРС и </w:t>
      </w:r>
      <w:r>
        <w:rPr>
          <w:rFonts w:ascii="Times New Roman" w:hAnsi="Times New Roman" w:cs="Times New Roman"/>
          <w:sz w:val="28"/>
          <w:szCs w:val="28"/>
          <w:lang w:val="ru"/>
        </w:rPr>
        <w:t>67,6</w:t>
      </w:r>
      <w:r>
        <w:rPr>
          <w:rFonts w:ascii="Times New Roman" w:hAnsi="Times New Roman" w:cs="Times New Roman"/>
          <w:sz w:val="28"/>
          <w:szCs w:val="28"/>
        </w:rPr>
        <w:t xml:space="preserve"> % МРС</w:t>
      </w:r>
      <w:r>
        <w:rPr>
          <w:rFonts w:ascii="Times New Roman" w:hAnsi="Times New Roman" w:cs="Times New Roman"/>
          <w:sz w:val="28"/>
          <w:szCs w:val="28"/>
          <w:lang w:val="ru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Республик</w:t>
      </w:r>
      <w:r>
        <w:rPr>
          <w:rFonts w:ascii="Times New Roman" w:hAnsi="Times New Roman" w:cs="Times New Roman"/>
          <w:sz w:val="28"/>
          <w:szCs w:val="24"/>
          <w:lang w:val="ru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 Крым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"/>
        </w:rPr>
        <w:t>36,4 % КРС и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 30,4 % МРС</w:t>
      </w:r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 в Республике Ингушетия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168,2 % КРС и 149,3 % МРС</w:t>
      </w:r>
      <w:r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 в Республике</w:t>
      </w:r>
      <w:r>
        <w:rPr>
          <w:rFonts w:ascii="Times New Roman" w:hAnsi="Times New Roman" w:cs="Times New Roman"/>
          <w:sz w:val="28"/>
          <w:szCs w:val="24"/>
        </w:rPr>
        <w:t xml:space="preserve"> Дагестан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117,0 % КРС и 68,0 % МРС, Карачаево-Черкесской Республике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100,0 % КРС и 100,0 % МРС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Чеченской Республике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67,0 % КРС и 66,1 % МРС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36505" w:rsidRDefault="00C16339">
      <w:pPr>
        <w:spacing w:after="0" w:line="276" w:lineRule="auto"/>
        <w:ind w:right="-18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Акарицидными обработками </w:t>
      </w:r>
      <w:r>
        <w:rPr>
          <w:rFonts w:ascii="Times New Roman" w:hAnsi="Times New Roman" w:cs="Times New Roman"/>
          <w:sz w:val="28"/>
          <w:szCs w:val="28"/>
        </w:rPr>
        <w:t>территории природных биотопов в субъектах ЮФО и СКФО в период с марта по октябрь 202</w:t>
      </w: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охвачено от запланированных площадей: в Ростовской области – </w:t>
      </w:r>
      <w:r>
        <w:rPr>
          <w:rFonts w:ascii="Times New Roman" w:hAnsi="Times New Roman" w:cs="Times New Roman"/>
          <w:sz w:val="28"/>
          <w:szCs w:val="28"/>
          <w:lang w:val="ru"/>
        </w:rPr>
        <w:t>108,1</w:t>
      </w:r>
      <w:r>
        <w:rPr>
          <w:rFonts w:ascii="Times New Roman" w:hAnsi="Times New Roman" w:cs="Times New Roman"/>
          <w:sz w:val="28"/>
          <w:szCs w:val="28"/>
        </w:rPr>
        <w:t xml:space="preserve"> %, в Республике Крым — 100</w:t>
      </w:r>
      <w:r>
        <w:rPr>
          <w:rFonts w:ascii="Times New Roman" w:hAnsi="Times New Roman" w:cs="Times New Roman"/>
          <w:sz w:val="28"/>
          <w:szCs w:val="28"/>
          <w:lang w:val="ru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 %, в Ставропольском крае – </w:t>
      </w:r>
      <w:r>
        <w:rPr>
          <w:rFonts w:ascii="Times New Roman" w:hAnsi="Times New Roman" w:cs="Times New Roman"/>
          <w:sz w:val="28"/>
          <w:szCs w:val="28"/>
          <w:lang w:val="ru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Республике Адыгея – </w:t>
      </w:r>
      <w:r>
        <w:rPr>
          <w:rFonts w:ascii="Times New Roman" w:hAnsi="Times New Roman" w:cs="Times New Roman"/>
          <w:sz w:val="28"/>
          <w:szCs w:val="28"/>
          <w:lang w:val="ru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  <w:lang w:val="ru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бардино-Балкарской Республике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100,0 %, </w:t>
      </w:r>
      <w:r>
        <w:rPr>
          <w:rFonts w:ascii="Times New Roman" w:hAnsi="Times New Roman" w:cs="Times New Roman"/>
          <w:sz w:val="28"/>
          <w:szCs w:val="28"/>
        </w:rPr>
        <w:t>в Волгоградской области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96,8 %, </w:t>
      </w:r>
      <w:r>
        <w:rPr>
          <w:rFonts w:ascii="Times New Roman" w:hAnsi="Times New Roman" w:cs="Times New Roman"/>
          <w:sz w:val="28"/>
          <w:szCs w:val="24"/>
          <w:lang w:val="ru"/>
        </w:rPr>
        <w:t>в Республике</w:t>
      </w:r>
      <w:r>
        <w:rPr>
          <w:rFonts w:ascii="Times New Roman" w:hAnsi="Times New Roman" w:cs="Times New Roman"/>
          <w:sz w:val="28"/>
          <w:szCs w:val="24"/>
        </w:rPr>
        <w:t xml:space="preserve"> Дагестан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 92,2 %, в Карачаево-Черкесской Республике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100,0 % и Республике Ингушетия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"/>
        </w:rPr>
        <w:t>121,0 %</w:t>
      </w:r>
      <w:r>
        <w:rPr>
          <w:rFonts w:ascii="Times New Roman" w:hAnsi="Times New Roman" w:cs="Times New Roman"/>
          <w:sz w:val="28"/>
          <w:szCs w:val="28"/>
        </w:rPr>
        <w:t>. Барьерными обработками в субъектах ЮФО и СКФО охвачено от запланированн</w:t>
      </w:r>
      <w:r>
        <w:rPr>
          <w:rFonts w:ascii="Times New Roman" w:hAnsi="Times New Roman" w:cs="Times New Roman"/>
          <w:sz w:val="28"/>
          <w:szCs w:val="28"/>
        </w:rPr>
        <w:t>ого объёма: в Ростовской области – 1</w:t>
      </w:r>
      <w:r>
        <w:rPr>
          <w:rFonts w:ascii="Times New Roman" w:hAnsi="Times New Roman" w:cs="Times New Roman"/>
          <w:sz w:val="28"/>
          <w:szCs w:val="28"/>
          <w:lang w:val="ru"/>
        </w:rPr>
        <w:t>1</w:t>
      </w:r>
      <w:r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  <w:lang w:val="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Ставропольском крае – </w:t>
      </w:r>
      <w:r>
        <w:rPr>
          <w:rFonts w:ascii="Times New Roman" w:hAnsi="Times New Roman" w:cs="Times New Roman"/>
          <w:sz w:val="28"/>
          <w:szCs w:val="28"/>
          <w:lang w:val="ru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  <w:lang w:val="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Республике Адыгея – 100,0 %</w:t>
      </w:r>
      <w:r>
        <w:rPr>
          <w:rFonts w:ascii="Times New Roman" w:hAnsi="Times New Roman" w:cs="Times New Roman"/>
          <w:sz w:val="28"/>
          <w:szCs w:val="28"/>
          <w:lang w:val="ru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Кабардино-Балкарской Республике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38,0 %, 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в Республике Ингушетия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109,0 %, 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в Карачаево-Черкесской Республике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100,0 </w:t>
      </w:r>
      <w:r>
        <w:rPr>
          <w:rFonts w:ascii="Times New Roman" w:hAnsi="Times New Roman" w:cs="Times New Roman"/>
          <w:sz w:val="28"/>
          <w:szCs w:val="24"/>
          <w:lang w:val="ru"/>
        </w:rPr>
        <w:lastRenderedPageBreak/>
        <w:t>%,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ru"/>
        </w:rPr>
        <w:t>13,8 %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"/>
        </w:rPr>
        <w:t>Республике</w:t>
      </w:r>
      <w:r>
        <w:rPr>
          <w:rFonts w:ascii="Times New Roman" w:hAnsi="Times New Roman" w:cs="Times New Roman"/>
          <w:sz w:val="28"/>
          <w:szCs w:val="24"/>
        </w:rPr>
        <w:t xml:space="preserve"> Дагестан</w:t>
      </w:r>
      <w:r>
        <w:rPr>
          <w:rFonts w:ascii="Times New Roman" w:hAnsi="Times New Roman" w:cs="Times New Roman"/>
          <w:sz w:val="28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100,0 %</w:t>
      </w:r>
      <w:r>
        <w:rPr>
          <w:rFonts w:ascii="Times New Roman" w:hAnsi="Times New Roman" w:cs="Times New Roman"/>
          <w:sz w:val="28"/>
          <w:szCs w:val="28"/>
        </w:rPr>
        <w:t>. Следует отметить, что в Краснодарском крае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, Республике Северная Осетия-Алания, Республике Калмыкия, Чеченской Республике и в Астраханской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проведение акарицидных обработок природных биотопов и барьерных </w:t>
      </w:r>
      <w:r>
        <w:rPr>
          <w:rFonts w:ascii="Times New Roman" w:hAnsi="Times New Roman" w:cs="Times New Roman"/>
          <w:sz w:val="28"/>
          <w:szCs w:val="28"/>
        </w:rPr>
        <w:t>обработок на 202</w:t>
      </w: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>
        <w:rPr>
          <w:rFonts w:ascii="Times New Roman" w:hAnsi="Times New Roman" w:cs="Times New Roman"/>
          <w:sz w:val="28"/>
          <w:szCs w:val="28"/>
        </w:rPr>
        <w:t> г. запланировано не было.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</w:t>
      </w:r>
      <w:r>
        <w:rPr>
          <w:rFonts w:ascii="Times New Roman" w:hAnsi="Times New Roman" w:cs="Times New Roman"/>
          <w:sz w:val="28"/>
          <w:szCs w:val="28"/>
          <w:lang w:val="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в Российской Федерации </w:t>
      </w:r>
      <w:r>
        <w:rPr>
          <w:rFonts w:ascii="Times New Roman" w:hAnsi="Times New Roman" w:cs="Times New Roman"/>
          <w:sz w:val="28"/>
          <w:szCs w:val="28"/>
          <w:lang w:val="ru"/>
        </w:rPr>
        <w:t>число зарегистрированных случаев КГЛ в 2,4 раза меньше, чем в 2022 г.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на 71,6 % ниже </w:t>
      </w:r>
      <w:r>
        <w:rPr>
          <w:rFonts w:ascii="Times New Roman" w:hAnsi="Times New Roman" w:cs="Times New Roman"/>
          <w:sz w:val="28"/>
          <w:szCs w:val="28"/>
        </w:rPr>
        <w:t>среднемноголетних значений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преимущественно регистрировали в </w:t>
      </w:r>
      <w:r>
        <w:rPr>
          <w:rFonts w:ascii="Times New Roman" w:hAnsi="Times New Roman" w:cs="Times New Roman"/>
          <w:sz w:val="28"/>
          <w:szCs w:val="28"/>
          <w:lang w:val="ru"/>
        </w:rPr>
        <w:t>Став</w:t>
      </w:r>
      <w:r>
        <w:rPr>
          <w:rFonts w:ascii="Times New Roman" w:hAnsi="Times New Roman" w:cs="Times New Roman"/>
          <w:sz w:val="28"/>
          <w:szCs w:val="28"/>
          <w:lang w:val="ru"/>
        </w:rPr>
        <w:t>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– 64 % от всех выявленных случаев, также эпидемические проявления КГЛ отмечены </w:t>
      </w:r>
      <w:r>
        <w:rPr>
          <w:rFonts w:ascii="Times New Roman" w:hAnsi="Times New Roman" w:cs="Times New Roman"/>
          <w:sz w:val="28"/>
          <w:szCs w:val="28"/>
        </w:rPr>
        <w:t>в Республике Дагестан,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Республике Калмыкия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Астраханской области, где заболеваемость регистрируется ежегодно. В 2023 г. впервые зарегистр</w:t>
      </w:r>
      <w:r>
        <w:rPr>
          <w:rFonts w:ascii="Times New Roman" w:hAnsi="Times New Roman" w:cs="Times New Roman"/>
          <w:sz w:val="28"/>
          <w:szCs w:val="28"/>
        </w:rPr>
        <w:t>ированы по одному случаю заболевания КГЛ на новой эпидемически активной территории – в Ботлихском и Новолакском районах Республики Дагестан.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стационарных точках долговременного наблюдения за природным очагом КГЛ в апреле 2023 г. эпидемически значимый по</w:t>
      </w:r>
      <w:r>
        <w:rPr>
          <w:rFonts w:ascii="Times New Roman" w:hAnsi="Times New Roman" w:cs="Times New Roman"/>
          <w:sz w:val="28"/>
          <w:szCs w:val="28"/>
        </w:rPr>
        <w:t xml:space="preserve">казатель численности основного переносчика вируса ККГЛ был превышен в 5 раз, а индекс встречаемости взрослых особей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i/>
          <w:sz w:val="28"/>
          <w:szCs w:val="28"/>
        </w:rPr>
        <w:t>. 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marginatum</w:t>
      </w:r>
      <w:r>
        <w:rPr>
          <w:rFonts w:ascii="Times New Roman" w:hAnsi="Times New Roman" w:cs="Times New Roman"/>
          <w:sz w:val="28"/>
          <w:szCs w:val="28"/>
        </w:rPr>
        <w:t xml:space="preserve"> на КРС составил 100 %, индекс обилия – 15,5. И, хотя </w:t>
      </w:r>
      <w:r>
        <w:rPr>
          <w:rFonts w:ascii="Times New Roman" w:hAnsi="Times New Roman"/>
          <w:sz w:val="28"/>
          <w:szCs w:val="28"/>
        </w:rPr>
        <w:t>доля положительных проб исследованного материала снизилась относительно с</w:t>
      </w:r>
      <w:r>
        <w:rPr>
          <w:rFonts w:ascii="Times New Roman" w:hAnsi="Times New Roman"/>
          <w:sz w:val="28"/>
          <w:szCs w:val="28"/>
        </w:rPr>
        <w:t>реднемноголетних данных, в 0,67–18,27 % проб были обнаружены маркеры вируса ККГЛ.</w:t>
      </w:r>
    </w:p>
    <w:p w:rsidR="00036505" w:rsidRDefault="00C16339">
      <w:pPr>
        <w:pStyle w:val="aa"/>
        <w:spacing w:line="276" w:lineRule="auto"/>
        <w:ind w:right="-2" w:firstLine="709"/>
        <w:jc w:val="both"/>
      </w:pPr>
      <w:r>
        <w:rPr>
          <w:sz w:val="28"/>
          <w:szCs w:val="28"/>
          <w:u w:val="single"/>
        </w:rPr>
        <w:t>Прогноз</w:t>
      </w:r>
      <w:r>
        <w:rPr>
          <w:sz w:val="28"/>
          <w:szCs w:val="28"/>
        </w:rPr>
        <w:t xml:space="preserve">: в связи с установившимися для переживания клещами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</w:rPr>
        <w:t>. </w:t>
      </w:r>
      <w:r>
        <w:rPr>
          <w:i/>
          <w:sz w:val="28"/>
          <w:szCs w:val="28"/>
          <w:lang w:val="en-US"/>
        </w:rPr>
        <w:t>marginatum</w:t>
      </w:r>
      <w:r>
        <w:rPr>
          <w:sz w:val="28"/>
          <w:szCs w:val="28"/>
        </w:rPr>
        <w:t xml:space="preserve"> диапаузы оптимальными погодно-климатическими условиями зимнего периода на территории стационарных точ</w:t>
      </w:r>
      <w:r>
        <w:rPr>
          <w:sz w:val="28"/>
          <w:szCs w:val="28"/>
        </w:rPr>
        <w:t>ек наблюдения в природном очаге КГЛ, а также продолжающейся подтверждённой циркуляцией вируса ККГЛ на территории Кабардино-Балкарской Республики, Краснодарского края, Республик Адыгея, Крым и Северная Осетия-Алания, Ингушетия, Дагестан, показатели численно</w:t>
      </w:r>
      <w:r>
        <w:rPr>
          <w:sz w:val="28"/>
          <w:szCs w:val="28"/>
        </w:rPr>
        <w:t xml:space="preserve">сти основного переносчика вируса ККГЛ – </w:t>
      </w:r>
      <w:r>
        <w:rPr>
          <w:i/>
          <w:sz w:val="28"/>
          <w:szCs w:val="28"/>
          <w:lang w:val="en-US"/>
        </w:rPr>
        <w:t>H</w:t>
      </w:r>
      <w:r>
        <w:rPr>
          <w:i/>
          <w:sz w:val="28"/>
          <w:szCs w:val="28"/>
        </w:rPr>
        <w:t>. </w:t>
      </w:r>
      <w:r>
        <w:rPr>
          <w:i/>
          <w:sz w:val="28"/>
          <w:szCs w:val="28"/>
          <w:lang w:val="en-US"/>
        </w:rPr>
        <w:t>marginatum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эпидсезон 2024 г., вероятно, сохранятся на уровне среднемноголетних. Постоянная регистрация случаев заболевания КГЛ, преобладание тяжёлой и средней тяжести форм течения болезни, продолжающееся расшире</w:t>
      </w:r>
      <w:r>
        <w:rPr>
          <w:sz w:val="28"/>
          <w:szCs w:val="28"/>
        </w:rPr>
        <w:t>ние эпидемически активной территории природного очага КГЛ свидетельствуют о продолжении</w:t>
      </w:r>
      <w:r>
        <w:rPr>
          <w:sz w:val="28"/>
          <w:szCs w:val="28"/>
          <w:lang w:val="ru"/>
        </w:rPr>
        <w:t xml:space="preserve"> в 2024 г. неблагоприятной эпидемиологической обстановки по КГЛ на юге европейской части Российской Федерации с возможным ростом заболеваемости. 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эффективное планирование профилактических мероприятий в 2024 г. Прежде всего,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проведение акарицидных обработок скота и природных биотопов с использованием высокоэффективных инсектоакарицидов в ранневесенний период (март-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прель). </w:t>
      </w:r>
      <w:r>
        <w:rPr>
          <w:rFonts w:ascii="Times New Roman" w:hAnsi="Times New Roman" w:cs="Times New Roman"/>
          <w:sz w:val="28"/>
          <w:szCs w:val="28"/>
        </w:rPr>
        <w:t xml:space="preserve">Во всех субъектах ЮФО и СКФО, расположенных на территории природного очага КГЛ, необходимо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обеспечить готовность медицинского персонала к раннему выявлению больных и готовность медицинских организаций к своевременному оказанию квалифицированной пом</w:t>
      </w:r>
      <w:r>
        <w:rPr>
          <w:rFonts w:ascii="Times New Roman" w:hAnsi="Times New Roman" w:cs="Times New Roman"/>
          <w:sz w:val="28"/>
          <w:szCs w:val="28"/>
          <w:lang w:eastAsia="ru-RU"/>
        </w:rPr>
        <w:t>ощи больным КГЛ.</w:t>
      </w:r>
    </w:p>
    <w:p w:rsidR="00036505" w:rsidRDefault="00C163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" w:eastAsia="ru-RU"/>
        </w:rPr>
        <w:t>Целесообразна активная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информационно-разъяснительная работа среди населения, особенно среди лиц, трудовая деятельность которых связана с уходом за сельскохозяйственными животными и работой в открытых биотопах.</w:t>
      </w:r>
    </w:p>
    <w:sectPr w:rsidR="00036505">
      <w:headerReference w:type="default" r:id="rId7"/>
      <w:pgSz w:w="11906" w:h="16838"/>
      <w:pgMar w:top="1134" w:right="794" w:bottom="1134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39" w:rsidRDefault="00C16339">
      <w:pPr>
        <w:spacing w:after="0" w:line="240" w:lineRule="auto"/>
      </w:pPr>
      <w:r>
        <w:separator/>
      </w:r>
    </w:p>
  </w:endnote>
  <w:endnote w:type="continuationSeparator" w:id="0">
    <w:p w:rsidR="00C16339" w:rsidRDefault="00C1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39" w:rsidRDefault="00C16339">
      <w:pPr>
        <w:spacing w:after="0" w:line="240" w:lineRule="auto"/>
      </w:pPr>
      <w:r>
        <w:separator/>
      </w:r>
    </w:p>
  </w:footnote>
  <w:footnote w:type="continuationSeparator" w:id="0">
    <w:p w:rsidR="00C16339" w:rsidRDefault="00C1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439549"/>
      <w:docPartObj>
        <w:docPartGallery w:val="Page Numbers (Top of Page)"/>
        <w:docPartUnique/>
      </w:docPartObj>
    </w:sdtPr>
    <w:sdtEndPr/>
    <w:sdtContent>
      <w:p w:rsidR="00036505" w:rsidRDefault="00C16339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A18E6">
          <w:rPr>
            <w:noProof/>
          </w:rPr>
          <w:t>2</w:t>
        </w:r>
        <w:r>
          <w:fldChar w:fldCharType="end"/>
        </w:r>
      </w:p>
    </w:sdtContent>
  </w:sdt>
  <w:p w:rsidR="00036505" w:rsidRDefault="0003650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05"/>
    <w:rsid w:val="00036505"/>
    <w:rsid w:val="00C16339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450D"/>
  <w15:docId w15:val="{B985E14D-BF19-4896-B9EA-9992DFC6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7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C5067"/>
  </w:style>
  <w:style w:type="character" w:customStyle="1" w:styleId="a4">
    <w:name w:val="Нижний колонтитул Знак"/>
    <w:basedOn w:val="a0"/>
    <w:uiPriority w:val="99"/>
    <w:qFormat/>
    <w:rsid w:val="002C5067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Абзац списка1"/>
    <w:basedOn w:val="a"/>
    <w:uiPriority w:val="67"/>
    <w:qFormat/>
    <w:rsid w:val="0089305E"/>
    <w:pPr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a">
    <w:name w:val="Îáû÷íûé"/>
    <w:qFormat/>
    <w:rsid w:val="00893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2C506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C506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114375"/>
          <c:y val="0.103888888888889"/>
          <c:w val="0.83543750000000006"/>
          <c:h val="0.71433333333333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Всего случаев заболевания</c:v>
                </c:pt>
              </c:strCache>
            </c:strRef>
          </c:tx>
          <c:spPr>
            <a:gradFill>
              <a:gsLst>
                <a:gs pos="0">
                  <a:srgbClr val="3574AC"/>
                </a:gs>
                <a:gs pos="100000">
                  <a:srgbClr val="4697E0"/>
                </a:gs>
              </a:gsLst>
              <a:lin ang="16200000"/>
            </a:gradFill>
            <a:ln>
              <a:noFill/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5F2-4EED-B70A-FCBAC15B48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F2-4EED-B70A-FCBAC15B483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strike="noStrike" spc="-1">
                    <a:solidFill>
                      <a:srgbClr val="44546A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91</c:v>
                </c:pt>
                <c:pt idx="1">
                  <c:v>139</c:v>
                </c:pt>
                <c:pt idx="2">
                  <c:v>162</c:v>
                </c:pt>
                <c:pt idx="3">
                  <c:v>78</c:v>
                </c:pt>
                <c:pt idx="4">
                  <c:v>72</c:v>
                </c:pt>
                <c:pt idx="5">
                  <c:v>134</c:v>
                </c:pt>
                <c:pt idx="6">
                  <c:v>31</c:v>
                </c:pt>
                <c:pt idx="7">
                  <c:v>49</c:v>
                </c:pt>
                <c:pt idx="8">
                  <c:v>59</c:v>
                </c:pt>
                <c:pt idx="9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F2-4EED-B70A-FCBAC15B4839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Количество летальных случаев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strike="noStrike" spc="-1">
                    <a:solidFill>
                      <a:srgbClr val="44546A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0"/>
                <c:pt idx="0">
                  <c:v>2</c:v>
                </c:pt>
                <c:pt idx="1">
                  <c:v>1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  <c:pt idx="5">
                  <c:v>6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F2-4EED-B70A-FCBAC15B48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6266582"/>
        <c:axId val="3704775"/>
      </c:barChart>
      <c:catAx>
        <c:axId val="2626658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9360">
            <a:solidFill>
              <a:srgbClr val="E0E5EB"/>
            </a:solidFill>
            <a:round/>
          </a:ln>
        </c:spPr>
        <c:txPr>
          <a:bodyPr/>
          <a:lstStyle/>
          <a:p>
            <a:pPr>
              <a:defRPr sz="1200" b="0" strike="noStrike" spc="-1">
                <a:solidFill>
                  <a:srgbClr val="44546A"/>
                </a:solidFill>
                <a:latin typeface="Calibri"/>
              </a:defRPr>
            </a:pPr>
            <a:endParaRPr lang="ru-RU"/>
          </a:p>
        </c:txPr>
        <c:crossAx val="3704775"/>
        <c:crosses val="autoZero"/>
        <c:auto val="1"/>
        <c:lblAlgn val="ctr"/>
        <c:lblOffset val="100"/>
        <c:noMultiLvlLbl val="0"/>
      </c:catAx>
      <c:valAx>
        <c:axId val="3704775"/>
        <c:scaling>
          <c:orientation val="minMax"/>
        </c:scaling>
        <c:delete val="0"/>
        <c:axPos val="l"/>
        <c:majorGridlines>
          <c:spPr>
            <a:ln w="9360">
              <a:solidFill>
                <a:srgbClr val="E0E5EB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ru-RU" sz="1000" b="1" strike="noStrike" spc="-1">
                    <a:solidFill>
                      <a:srgbClr val="000000"/>
                    </a:solidFill>
                    <a:latin typeface="Calibri"/>
                  </a:defRPr>
                </a:pPr>
                <a:r>
                  <a:rPr lang="ru-RU" sz="1000" b="1" strike="noStrike" spc="-1">
                    <a:solidFill>
                      <a:srgbClr val="000000"/>
                    </a:solidFill>
                    <a:latin typeface="Calibri"/>
                  </a:rPr>
                  <a:t>Число случаев заболевания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sz="1200" b="0" strike="noStrike" spc="-1">
                <a:solidFill>
                  <a:srgbClr val="44546A"/>
                </a:solidFill>
                <a:latin typeface="Calibri"/>
              </a:defRPr>
            </a:pPr>
            <a:endParaRPr lang="ru-RU"/>
          </a:p>
        </c:txPr>
        <c:crossAx val="26266582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8.9249999999999996E-2"/>
          <c:y val="0.927111111111111"/>
          <c:w val="0.80592537033564604"/>
          <c:h val="5.0561173463718197E-2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000" b="1" strike="noStrike" spc="-1">
              <a:solidFill>
                <a:srgbClr val="44546A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2135</Words>
  <Characters>12173</Characters>
  <Application>Microsoft Office Word</Application>
  <DocSecurity>0</DocSecurity>
  <Lines>101</Lines>
  <Paragraphs>28</Paragraphs>
  <ScaleCrop>false</ScaleCrop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Малецкая</dc:creator>
  <dc:description/>
  <cp:lastModifiedBy>Валерия Петровская</cp:lastModifiedBy>
  <cp:revision>11</cp:revision>
  <dcterms:created xsi:type="dcterms:W3CDTF">2023-11-10T07:58:00Z</dcterms:created>
  <dcterms:modified xsi:type="dcterms:W3CDTF">2023-11-10T13:43:00Z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